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C6" w:rsidRDefault="0013685F">
      <w:r w:rsidRPr="0013685F">
        <w:t xml:space="preserve">3.1.3.3. Impacto Externo   La organización apoya campañas de </w:t>
      </w:r>
      <w:r w:rsidRPr="0013685F">
        <w:rPr>
          <w:highlight w:val="yellow"/>
        </w:rPr>
        <w:t>promoción de conservación y uso racional del agua</w:t>
      </w:r>
      <w:bookmarkStart w:id="0" w:name="_GoBack"/>
      <w:bookmarkEnd w:id="0"/>
    </w:p>
    <w:p w:rsidR="0013685F" w:rsidRDefault="0013685F"/>
    <w:p w:rsidR="0013685F" w:rsidRDefault="0013685F"/>
    <w:sectPr w:rsidR="00136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9A"/>
    <w:rsid w:val="0013685F"/>
    <w:rsid w:val="0086679A"/>
    <w:rsid w:val="00C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63BA-C093-4604-96AC-8F9A808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2021-05-11T17:53:00Z</dcterms:created>
  <dcterms:modified xsi:type="dcterms:W3CDTF">2021-05-11T17:55:00Z</dcterms:modified>
</cp:coreProperties>
</file>